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13,14]</w:t>
      </w:r>
      <w:r>
        <w:t xml:space="preserve"> </w:t>
      </w:r>
      <w:r>
        <w:t xml:space="preserve">or continuous measurements</w:t>
      </w:r>
      <w:r>
        <w:t xml:space="preserve"> </w:t>
      </w:r>
      <w:r>
        <w:t xml:space="preserve">[which quantifies the strength of of an interaction, 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[23]</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[14,25]</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[31]</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[34,35]</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[36]</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[37]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[38,39]</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[40]</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[8]</w:t>
      </w:r>
      <w:r>
        <w:t xml:space="preserve">) or other structural features (</w:t>
      </w:r>
      <w:r>
        <w:rPr>
          <w:i/>
          <w:iCs/>
        </w:rPr>
        <w:t xml:space="preserve">e.g.,</w:t>
      </w:r>
      <w:r>
        <w:t xml:space="preserve"> </w:t>
      </w:r>
      <w:r>
        <w:t xml:space="preserve">stochastic block model,</w:t>
      </w:r>
      <w:r>
        <w:t xml:space="preserve"> </w:t>
      </w:r>
      <w:r>
        <w:t xml:space="preserve">[41]</w:t>
      </w:r>
      <w:r>
        <w:t xml:space="preserve">) of a</w:t>
      </w:r>
      <w:r>
        <w:t xml:space="preserve"> </w:t>
      </w:r>
      <w:r>
        <w:rPr>
          <w:i/>
          <w:iCs/>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[42]</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[43]</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 on process</w:t>
                  </w:r>
                </w:p>
              </w:tc>
              <w:tc>
                <w:tcPr/>
                <w:p>
                  <w:pPr>
                    <w:pStyle w:val="Compact"/>
                    <w:jc w:val="left"/>
                    <w:jc w:val="center"/>
                  </w:pPr>
                  <w:r>
                    <w:t xml:space="preserve">‘</w:t>
                  </w:r>
                  <w:r>
                    <w:t xml:space="preserve">Scale</w:t>
                  </w:r>
                  <w:r>
                    <w:t xml:space="preserve">’</w:t>
                  </w:r>
                  <w:r>
                    <w:t xml:space="preserve"> </w:t>
                  </w:r>
                  <w:r>
                    <w:t xml:space="preserve">of data (??)</w:t>
                  </w:r>
                </w:p>
              </w:tc>
              <w:tc>
                <w:tcPr/>
                <w:p>
                  <w:pPr>
                    <w:pStyle w:val="Compact"/>
                    <w:jc w:val="left"/>
                    <w:jc w:val="center"/>
                  </w:pPr>
                  <w:r>
                    <w:t xml:space="preserve">Type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[42]</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[37]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[45]</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[46]</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[10,47]</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 however networks that are constructed through either empirical observations or through predictive means are fundamentally going to represent metawebs,</w:t>
      </w:r>
      <w:r>
        <w:t xml:space="preserve"> </w:t>
      </w:r>
      <w:r>
        <w:rPr>
          <w:i/>
          <w:iCs/>
        </w:rPr>
        <w:t xml:space="preserve">i.e.,</w:t>
      </w:r>
      <w:r>
        <w:t xml:space="preserve"> </w:t>
      </w:r>
      <w:r>
        <w:t xml:space="preserve">lack constrained links.</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[48]</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[50]</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[51]</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[52]</w:t>
      </w:r>
    </w:p>
    <w:p>
      <w:pPr>
        <w:numPr>
          <w:ilvl w:val="1"/>
          <w:numId w:val="1009"/>
        </w:numPr>
      </w:pPr>
      <w:r>
        <w:t xml:space="preserve">Aligning (dove-tailing) with this the idea of ensemble modelling as presented by</w:t>
      </w:r>
      <w:r>
        <w:t xml:space="preserve"> </w:t>
      </w:r>
      <w:r>
        <w:t xml:space="preserve">[53]</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[54]</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[55]</w:t>
      </w:r>
      <w:r>
        <w:t xml:space="preserve"> </w:t>
      </w:r>
      <w:r>
        <w:t xml:space="preserve">and that we should also start thinking about the interplay of time and space</w:t>
      </w:r>
      <w:r>
        <w:t xml:space="preserve"> </w:t>
      </w:r>
      <w:r>
        <w:t xml:space="preserve">[56]</w:t>
      </w:r>
      <w:r>
        <w:t xml:space="preserve">. Although deciding exactly what measure might actually be driving differences between local networks and the regional metaweb might not be that simple</w:t>
      </w:r>
      <w:r>
        <w:t xml:space="preserve"> </w:t>
      </w:r>
      <w:r>
        <w:t xml:space="preserve">[57]</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[58]</w:t>
      </w:r>
      <w:r>
        <w:t xml:space="preserve"> </w:t>
      </w:r>
      <w:r>
        <w:t xml:space="preserve">and in a way</w:t>
      </w:r>
      <w:r>
        <w:t xml:space="preserve"> </w:t>
      </w:r>
      <w:r>
        <w:t xml:space="preserve">[59]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0" w:name="references"/>
    <w:p>
      <w:pPr>
        <w:pStyle w:val="Heading1"/>
      </w:pPr>
      <w:r>
        <w:t xml:space="preserve">References</w:t>
      </w:r>
    </w:p>
    <w:bookmarkStart w:id="159"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8"/>
    <w:bookmarkStart w:id="70"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ref-berlowInteractionStrengthsFood2004"/>
    <w:p>
      <w:pPr>
        <w:pStyle w:val="Bibliography"/>
      </w:pPr>
      <w:r>
        <w:t xml:space="preserve">15.</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1">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1"/>
    <w:bookmarkStart w:id="103" w:name="X5c34a2e64ad17132523b815ad511dc881809961"/>
    <w:p>
      <w:pPr>
        <w:pStyle w:val="Bibliography"/>
      </w:pPr>
      <w:r>
        <w:t xml:space="preserve">31.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0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1"/>
    <w:bookmarkStart w:id="113" w:name="ref-caronTraitmatchingModelsPredict2024"/>
    <w:p>
      <w:pPr>
        <w:pStyle w:val="Bibliography"/>
      </w:pPr>
      <w:r>
        <w:t xml:space="preserve">36.</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3"/>
    <w:bookmarkStart w:id="115" w:name="ref-strydomGraphEmbeddingTransfer2023"/>
    <w:p>
      <w:pPr>
        <w:pStyle w:val="Bibliography"/>
      </w:pPr>
      <w:r>
        <w:t xml:space="preserve">37.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5"/>
    <w:bookmarkStart w:id="117" w:name="ref-dunneCompilationNetworkAnalyses2008"/>
    <w:p>
      <w:pPr>
        <w:pStyle w:val="Bibliography"/>
      </w:pPr>
      <w:r>
        <w:t xml:space="preserve">38.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7"/>
    <w:bookmarkStart w:id="119" w:name="ref-yeakelCollapseEcologicalNetwork2014"/>
    <w:p>
      <w:pPr>
        <w:pStyle w:val="Bibliography"/>
      </w:pPr>
      <w:r>
        <w:t xml:space="preserve">39.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1"/>
    <w:bookmarkStart w:id="123" w:name="X88f1d6f63b0836bbf1d6ae3f885d8fb9f247ff3"/>
    <w:p>
      <w:pPr>
        <w:pStyle w:val="Bibliography"/>
      </w:pPr>
      <w:r>
        <w:t xml:space="preserve">41.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3"/>
    <w:bookmarkStart w:id="125" w:name="ref-williamsSuccessItsLimits2008"/>
    <w:p>
      <w:pPr>
        <w:pStyle w:val="Bibliography"/>
      </w:pPr>
      <w:r>
        <w:t xml:space="preserve">42.</w:t>
      </w:r>
      <w:r>
        <w:t xml:space="preserve"> </w:t>
      </w:r>
      <w:r>
        <w:t xml:space="preserve">	</w:t>
      </w:r>
      <w:r>
        <w:t xml:space="preserve">Williams, R.J. and Martinez, N.D. (2008)</w:t>
      </w:r>
      <w:r>
        <w:t xml:space="preserve"> </w:t>
      </w:r>
      <w:hyperlink r:id="rId12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5"/>
    <w:bookmarkStart w:id="127" w:name="ref-momalTreebasedInferenceSpecies2020"/>
    <w:p>
      <w:pPr>
        <w:pStyle w:val="Bibliography"/>
      </w:pPr>
      <w:r>
        <w:t xml:space="preserve">43.</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6">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7"/>
    <w:bookmarkStart w:id="129" w:name="X9a5602d39772ae027b885bf5c9cb3d36ba71c0c"/>
    <w:p>
      <w:pPr>
        <w:pStyle w:val="Bibliography"/>
      </w:pPr>
      <w:r>
        <w:t xml:space="preserve">44.</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poisotSyntheticDatasetsCommunity2016"/>
    <w:p>
      <w:pPr>
        <w:pStyle w:val="Bibliography"/>
      </w:pPr>
      <w:r>
        <w:t xml:space="preserve">46.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5"/>
    <w:bookmarkStart w:id="137" w:name="ref-petcheyFitEfficiencyBiology2011"/>
    <w:p>
      <w:pPr>
        <w:pStyle w:val="Bibliography"/>
      </w:pPr>
      <w:r>
        <w:t xml:space="preserve">48.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37"/>
    <w:bookmarkStart w:id="139" w:name="ref-berlowGoldilocksFactorFood2008"/>
    <w:p>
      <w:pPr>
        <w:pStyle w:val="Bibliography"/>
      </w:pPr>
      <w:r>
        <w:t xml:space="preserve">49.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9"/>
    <w:bookmarkStart w:id="141" w:name="ref-brimacombeApplyingMethodIts2024"/>
    <w:p>
      <w:pPr>
        <w:pStyle w:val="Bibliography"/>
      </w:pPr>
      <w:r>
        <w:t xml:space="preserve">50.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4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1"/>
    <w:bookmarkStart w:id="143" w:name="X023758d2a089016cd8f0c9d2421079cf7d062ff"/>
    <w:p>
      <w:pPr>
        <w:pStyle w:val="Bibliography"/>
      </w:pPr>
      <w:r>
        <w:t xml:space="preserve">51.</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3"/>
    <w:bookmarkStart w:id="145" w:name="ref-strydomRoadmapPredictingSpecies2021"/>
    <w:p>
      <w:pPr>
        <w:pStyle w:val="Bibliography"/>
      </w:pPr>
      <w:r>
        <w:t xml:space="preserve">52.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5"/>
    <w:bookmarkStart w:id="147" w:name="ref-beckerOptimisingPredictiveModels2022"/>
    <w:p>
      <w:pPr>
        <w:pStyle w:val="Bibliography"/>
      </w:pPr>
      <w:r>
        <w:t xml:space="preserve">53.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7"/>
    <w:bookmarkStart w:id="149" w:name="ref-terryFindingMissingLinks2020"/>
    <w:p>
      <w:pPr>
        <w:pStyle w:val="Bibliography"/>
      </w:pPr>
      <w:r>
        <w:t xml:space="preserve">54.</w:t>
      </w:r>
      <w:r>
        <w:t xml:space="preserve"> </w:t>
      </w:r>
      <w:r>
        <w:t xml:space="preserve">	</w:t>
      </w:r>
      <w:r>
        <w:t xml:space="preserve">Terry, J.C.D. and Lewis, O.T. (2020)</w:t>
      </w:r>
      <w:r>
        <w:t xml:space="preserve"> </w:t>
      </w:r>
      <w:hyperlink r:id="rId14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9"/>
    <w:bookmarkStart w:id="151" w:name="ref-fortinNetworkEcologyDynamic2021"/>
    <w:p>
      <w:pPr>
        <w:pStyle w:val="Bibliography"/>
      </w:pPr>
      <w:r>
        <w:t xml:space="preserve">55.</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2"/>
    <w:bookmarkStart w:id="154" w:name="ref-saraviaEcologicalNetworkAssembly2022"/>
    <w:p>
      <w:pPr>
        <w:pStyle w:val="Bibliography"/>
      </w:pPr>
      <w:r>
        <w:t xml:space="preserve">57.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4"/>
    <w:bookmarkStart w:id="156" w:name="ref-hutchinsonSeeingForestTrees2019"/>
    <w:p>
      <w:pPr>
        <w:pStyle w:val="Bibliography"/>
      </w:pPr>
      <w:r>
        <w:t xml:space="preserve">58.</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6"/>
    <w:bookmarkStart w:id="158" w:name="ref-rooneyLandscapeTheoryFood2008"/>
    <w:p>
      <w:pPr>
        <w:pStyle w:val="Bibliography"/>
      </w:pPr>
      <w:r>
        <w:t xml:space="preserve">59.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102"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22"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8" Target="https://doi.org/10.1073/pnas.1408471111" TargetMode="External" /><Relationship Type="http://schemas.openxmlformats.org/officeDocument/2006/relationships/hyperlink" Id="rId120"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30" Target="https://doi.org/10.1111/2041-210X.13329" TargetMode="External" /><Relationship Type="http://schemas.openxmlformats.org/officeDocument/2006/relationships/hyperlink" Id="rId126"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2"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57" Target="https://doi.org/10.1111/j.1461-0248.2008.01193.x" TargetMode="External" /><Relationship Type="http://schemas.openxmlformats.org/officeDocument/2006/relationships/hyperlink" Id="rId108"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16"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10"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102"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22"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8" Target="https://doi.org/10.1073/pnas.1408471111" TargetMode="External" /><Relationship Type="http://schemas.openxmlformats.org/officeDocument/2006/relationships/hyperlink" Id="rId120"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5"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30" Target="https://doi.org/10.1111/2041-210X.13329" TargetMode="External" /><Relationship Type="http://schemas.openxmlformats.org/officeDocument/2006/relationships/hyperlink" Id="rId126"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2"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57" Target="https://doi.org/10.1111/j.1461-0248.2008.01193.x" TargetMode="External" /><Relationship Type="http://schemas.openxmlformats.org/officeDocument/2006/relationships/hyperlink" Id="rId108"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16"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10"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2024-09-13T12:46:17Z</dcterms:created>
  <dcterms:modified xsi:type="dcterms:W3CDTF">2024-09-13T12:46:17Z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